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C</w:t>
      </w:r>
      <w:r w:rsidRPr="00FA00BE">
        <w:rPr>
          <w:color w:val="auto"/>
        </w:rPr>
        <w:t>ontexte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Enjeux externes et internes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Les parties Intéressées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L</w:t>
      </w:r>
      <w:r w:rsidRPr="00FA00BE">
        <w:rPr>
          <w:color w:val="auto"/>
        </w:rPr>
        <w:t>es audits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  <w:r w:rsidRPr="00FA00BE">
        <w:rPr>
          <w:color w:val="auto"/>
        </w:rPr>
        <w:tab/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Audits internes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Audit ISO 9001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Retours d’information des clients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Conformité du produit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Non-conformités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Fonctionnement des processus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Etat des actions préventives et correctives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lastRenderedPageBreak/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Ressources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Matériel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Environnement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Gestion des</w:t>
      </w:r>
      <w:r w:rsidRPr="00FA00BE">
        <w:rPr>
          <w:color w:val="auto"/>
        </w:rPr>
        <w:t xml:space="preserve"> connaissances et</w:t>
      </w:r>
      <w:r w:rsidRPr="00FA00BE">
        <w:rPr>
          <w:color w:val="auto"/>
        </w:rPr>
        <w:t xml:space="preserve"> compétences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Responsabilités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Sous-traitants et achats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</w:t>
      </w:r>
      <w:r w:rsidRPr="00FA00BE">
        <w:rPr>
          <w:color w:val="auto"/>
        </w:rPr>
        <w:t>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</w:t>
      </w:r>
      <w:r w:rsidRPr="00FA00BE">
        <w:rPr>
          <w:color w:val="auto"/>
        </w:rPr>
        <w:t>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Chang</w:t>
      </w:r>
      <w:r w:rsidRPr="00FA00BE">
        <w:rPr>
          <w:color w:val="auto"/>
        </w:rPr>
        <w:t>ements pouvant affecter le SMQ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Constat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décisions des précédentes RD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Mesures et actions décidées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Recommandations d’amélioration</w:t>
      </w:r>
    </w:p>
    <w:p w:rsidR="0043346C" w:rsidRPr="00FA00BE" w:rsidRDefault="0043346C" w:rsidP="00FA00BE">
      <w:pPr>
        <w:pStyle w:val="Titre2"/>
        <w:rPr>
          <w:color w:val="auto"/>
        </w:rPr>
      </w:pPr>
      <w:r w:rsidRPr="00FA00BE">
        <w:rPr>
          <w:color w:val="auto"/>
        </w:rPr>
        <w:t>Suivi des recommandations de l’année N-1</w:t>
      </w:r>
    </w:p>
    <w:p w:rsidR="0043346C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Politique et objectifs qualité</w:t>
      </w:r>
    </w:p>
    <w:p w:rsidR="00FA00BE" w:rsidRPr="00FA00BE" w:rsidRDefault="0043346C" w:rsidP="00FA00BE">
      <w:pPr>
        <w:pStyle w:val="Titre1"/>
        <w:rPr>
          <w:color w:val="auto"/>
        </w:rPr>
      </w:pPr>
      <w:r w:rsidRPr="00FA00BE">
        <w:rPr>
          <w:color w:val="auto"/>
        </w:rPr>
        <w:t>Conclusions - Efficacité du SMQ</w:t>
      </w:r>
      <w:bookmarkStart w:id="0" w:name="_GoBack"/>
      <w:bookmarkEnd w:id="0"/>
    </w:p>
    <w:sectPr w:rsidR="00FA00BE" w:rsidRPr="00FA00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13" w:rsidRDefault="00496513" w:rsidP="000709D3">
      <w:pPr>
        <w:spacing w:after="0" w:line="240" w:lineRule="auto"/>
      </w:pPr>
      <w:r>
        <w:separator/>
      </w:r>
    </w:p>
  </w:endnote>
  <w:endnote w:type="continuationSeparator" w:id="0">
    <w:p w:rsidR="00496513" w:rsidRDefault="00496513" w:rsidP="0007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BE" w:rsidRDefault="00FA00BE">
    <w:pPr>
      <w:pStyle w:val="Pieddepage"/>
    </w:pPr>
    <w:r>
      <w:t>Le 28 septembre 2016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13" w:rsidRDefault="00496513" w:rsidP="000709D3">
      <w:pPr>
        <w:spacing w:after="0" w:line="240" w:lineRule="auto"/>
      </w:pPr>
      <w:r>
        <w:separator/>
      </w:r>
    </w:p>
  </w:footnote>
  <w:footnote w:type="continuationSeparator" w:id="0">
    <w:p w:rsidR="00496513" w:rsidRDefault="00496513" w:rsidP="0007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Look w:val="04A0" w:firstRow="1" w:lastRow="0" w:firstColumn="1" w:lastColumn="0" w:noHBand="0" w:noVBand="1"/>
    </w:tblPr>
    <w:tblGrid>
      <w:gridCol w:w="3073"/>
      <w:gridCol w:w="3981"/>
      <w:gridCol w:w="2835"/>
    </w:tblGrid>
    <w:tr w:rsidR="000709D3" w:rsidTr="003609D0">
      <w:tc>
        <w:tcPr>
          <w:tcW w:w="3073" w:type="dxa"/>
          <w:tcBorders>
            <w:top w:val="nil"/>
            <w:left w:val="nil"/>
          </w:tcBorders>
          <w:vAlign w:val="center"/>
        </w:tcPr>
        <w:p w:rsidR="000709D3" w:rsidRDefault="000709D3" w:rsidP="003609D0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04F26A2" wp14:editId="4789C0FC">
                <wp:extent cx="1386840" cy="556260"/>
                <wp:effectExtent l="0" t="0" r="3810" b="0"/>
                <wp:docPr id="1" name="Image 1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shd w:val="clear" w:color="auto" w:fill="F2DBDB" w:themeFill="accent2" w:themeFillTint="33"/>
          <w:vAlign w:val="center"/>
        </w:tcPr>
        <w:p w:rsidR="00FA00BE" w:rsidRPr="00FA00BE" w:rsidRDefault="00FA00BE" w:rsidP="003609D0">
          <w:pPr>
            <w:jc w:val="center"/>
            <w:rPr>
              <w:sz w:val="56"/>
            </w:rPr>
          </w:pPr>
          <w:r w:rsidRPr="00FA00BE">
            <w:rPr>
              <w:sz w:val="56"/>
            </w:rPr>
            <w:t>Ordre du jour</w:t>
          </w:r>
        </w:p>
        <w:p w:rsidR="000709D3" w:rsidRPr="00293EB9" w:rsidRDefault="00FA00BE" w:rsidP="003609D0">
          <w:pPr>
            <w:jc w:val="center"/>
            <w:rPr>
              <w:sz w:val="72"/>
            </w:rPr>
          </w:pPr>
          <w:r w:rsidRPr="00FA00BE">
            <w:rPr>
              <w:sz w:val="56"/>
            </w:rPr>
            <w:t>de la</w:t>
          </w:r>
          <w:r w:rsidR="000709D3" w:rsidRPr="00FA00BE">
            <w:rPr>
              <w:sz w:val="56"/>
            </w:rPr>
            <w:t xml:space="preserve"> Revue de Direction</w:t>
          </w:r>
        </w:p>
      </w:tc>
      <w:tc>
        <w:tcPr>
          <w:tcW w:w="2835" w:type="dxa"/>
          <w:tcBorders>
            <w:top w:val="nil"/>
            <w:right w:val="nil"/>
          </w:tcBorders>
          <w:shd w:val="clear" w:color="auto" w:fill="auto"/>
          <w:vAlign w:val="center"/>
        </w:tcPr>
        <w:p w:rsidR="000709D3" w:rsidRDefault="000709D3" w:rsidP="003609D0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ABD5CDD" wp14:editId="1DA0518B">
                <wp:extent cx="1638300" cy="924806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6" cy="9242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293EB9">
            <w:rPr>
              <w:sz w:val="160"/>
            </w:rPr>
            <w:t xml:space="preserve"> </w:t>
          </w:r>
        </w:p>
      </w:tc>
    </w:tr>
  </w:tbl>
  <w:p w:rsidR="000709D3" w:rsidRDefault="00070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64C6"/>
    <w:multiLevelType w:val="multilevel"/>
    <w:tmpl w:val="860AA9F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6C"/>
    <w:rsid w:val="000709D3"/>
    <w:rsid w:val="0043346C"/>
    <w:rsid w:val="00496513"/>
    <w:rsid w:val="00CB67E4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0BE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0BE"/>
    <w:pPr>
      <w:keepNext/>
      <w:keepLines/>
      <w:numPr>
        <w:ilvl w:val="1"/>
        <w:numId w:val="1"/>
      </w:numPr>
      <w:spacing w:before="120" w:after="0"/>
      <w:ind w:left="992"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00B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00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00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00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00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00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00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A00BE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33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3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D3"/>
  </w:style>
  <w:style w:type="paragraph" w:styleId="Pieddepage">
    <w:name w:val="footer"/>
    <w:basedOn w:val="Normal"/>
    <w:link w:val="PieddepageCar"/>
    <w:uiPriority w:val="99"/>
    <w:unhideWhenUsed/>
    <w:rsid w:val="000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9D3"/>
  </w:style>
  <w:style w:type="table" w:styleId="Grilledutableau">
    <w:name w:val="Table Grid"/>
    <w:basedOn w:val="TableauNormal"/>
    <w:uiPriority w:val="59"/>
    <w:rsid w:val="0007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D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A00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A00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A00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A0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A0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A00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0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0BE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0BE"/>
    <w:pPr>
      <w:keepNext/>
      <w:keepLines/>
      <w:numPr>
        <w:ilvl w:val="1"/>
        <w:numId w:val="1"/>
      </w:numPr>
      <w:spacing w:before="120" w:after="0"/>
      <w:ind w:left="992"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00B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00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00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00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00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00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00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A00BE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33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3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D3"/>
  </w:style>
  <w:style w:type="paragraph" w:styleId="Pieddepage">
    <w:name w:val="footer"/>
    <w:basedOn w:val="Normal"/>
    <w:link w:val="PieddepageCar"/>
    <w:uiPriority w:val="99"/>
    <w:unhideWhenUsed/>
    <w:rsid w:val="000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9D3"/>
  </w:style>
  <w:style w:type="table" w:styleId="Grilledutableau">
    <w:name w:val="Table Grid"/>
    <w:basedOn w:val="TableauNormal"/>
    <w:uiPriority w:val="59"/>
    <w:rsid w:val="0007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D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A00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A00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A00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A0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A0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A00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0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884A-0FE0-4ABF-AD6E-F81C7BA6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CASTEL</dc:creator>
  <cp:keywords/>
  <dc:description/>
  <cp:lastModifiedBy>yves CASTEL</cp:lastModifiedBy>
  <cp:revision>2</cp:revision>
  <dcterms:created xsi:type="dcterms:W3CDTF">2016-09-28T09:29:00Z</dcterms:created>
  <dcterms:modified xsi:type="dcterms:W3CDTF">2016-09-28T09:47:00Z</dcterms:modified>
</cp:coreProperties>
</file>